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09" w:rsidRPr="00465B80" w:rsidRDefault="00AD6309" w:rsidP="00AD6309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465B80">
        <w:rPr>
          <w:rFonts w:ascii="Times New Roman" w:hAnsi="Times New Roman" w:cs="Times New Roman"/>
          <w:i w:val="0"/>
          <w:sz w:val="24"/>
          <w:szCs w:val="24"/>
        </w:rPr>
        <w:t xml:space="preserve">Aleksander Gieysztor </w:t>
      </w:r>
    </w:p>
    <w:p w:rsidR="00AD6309" w:rsidRPr="00465B80" w:rsidRDefault="00AD6309" w:rsidP="00E91790">
      <w:pPr>
        <w:pStyle w:val="Nagwek2"/>
        <w:spacing w:line="360" w:lineRule="auto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Aleksander Gieysztor (1916-1999) h</w:t>
      </w:r>
      <w:r w:rsidRPr="00465B80">
        <w:rPr>
          <w:rFonts w:ascii="Times New Roman" w:hAnsi="Times New Roman" w:cs="Times New Roman"/>
          <w:b w:val="0"/>
          <w:i w:val="0"/>
          <w:sz w:val="24"/>
          <w:szCs w:val="24"/>
        </w:rPr>
        <w:t>istoryk o międzynarodowym</w:t>
      </w:r>
      <w:r w:rsidRPr="00465B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autorytecie, w latach 1955-1975 pełnił funkcję dyrektora Instytutu Historycznego UW. Dwukrotnie był prezesem PAN</w:t>
      </w:r>
      <w:proofErr w:type="gramStart"/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(1981-1983;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1990-1992).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Od</w:t>
      </w:r>
      <w:proofErr w:type="gramEnd"/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1971 r. członek Prezydium Obywatelskiego Komitetu Odbudowy Zamku Królewskiego w Warszawie. Należał do najaktywniejszych członków Komitetu, wraz z profesorami Stanisławem Lorentzem i Janem Zachwatowiczem określał dokładny terminarz i charakter prac projektowych oraz program zagospodarowania Zamku. Pełniąc funkcję dyrektora Zamku w latach (1980-1991) odegrał decydującą ro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lę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nie tylko w przygotowaniu projektów urządzeni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a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ekspozycji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,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ale także w kształtowaniu nowo powołanej instytucji.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Otrzymał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wiel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e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zaszczytnych odznaczeń: Order Orła Białego, Krzyż Komandorski z Gwiazdą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Orderu Odrodzenia Polski</w:t>
      </w:r>
      <w:r w:rsidRPr="00465B80">
        <w:rPr>
          <w:rStyle w:val="Uwydatnienie"/>
          <w:rFonts w:ascii="Times New Roman" w:hAnsi="Times New Roman" w:cs="Times New Roman"/>
          <w:sz w:val="24"/>
          <w:szCs w:val="24"/>
        </w:rPr>
        <w:t xml:space="preserve">, 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dwukrotnie francusk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ą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Legi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ę</w:t>
      </w:r>
      <w:r w:rsidRPr="00465B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Honorow</w:t>
      </w:r>
      <w:r w:rsidR="00E9179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ą. Dwudziestą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piątą rocznicę śmierci Profesora 9 lutego 2024 uczcimy uroczystym koncertem.</w:t>
      </w:r>
    </w:p>
    <w:p w:rsidR="004A0BAE" w:rsidRDefault="004A0BAE"/>
    <w:sectPr w:rsidR="004A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09"/>
    <w:rsid w:val="004A0BAE"/>
    <w:rsid w:val="00AD6309"/>
    <w:rsid w:val="00E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37D"/>
  <w15:chartTrackingRefBased/>
  <w15:docId w15:val="{7946DA05-3135-453E-AD01-7DF09A38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630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D630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Uwydatnienie">
    <w:name w:val="Emphasis"/>
    <w:basedOn w:val="Domylnaczcionkaakapitu"/>
    <w:qFormat/>
    <w:rsid w:val="00AD6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Radzio</dc:creator>
  <cp:keywords/>
  <dc:description/>
  <cp:lastModifiedBy>Bożena Radzio</cp:lastModifiedBy>
  <cp:revision>2</cp:revision>
  <dcterms:created xsi:type="dcterms:W3CDTF">2024-01-18T08:24:00Z</dcterms:created>
  <dcterms:modified xsi:type="dcterms:W3CDTF">2024-01-30T11:34:00Z</dcterms:modified>
</cp:coreProperties>
</file>