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9C0" w:rsidRDefault="00A746D9">
      <w:pPr>
        <w:jc w:val="center"/>
        <w:rPr>
          <w:rFonts w:ascii="Cambria" w:hAnsi="Cambria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171950" cy="3020695"/>
            <wp:effectExtent l="0" t="0" r="0" b="0"/>
            <wp:docPr id="1" name="Obraz 1" descr="C:\Users\pszwed\Desktop\malach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pszwed\Desktop\malachows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C0" w:rsidRDefault="00A719C0">
      <w:pPr>
        <w:rPr>
          <w:rFonts w:ascii="Cambria" w:hAnsi="Cambria"/>
          <w:b/>
          <w:sz w:val="32"/>
          <w:szCs w:val="32"/>
        </w:rPr>
      </w:pPr>
    </w:p>
    <w:p w:rsidR="00A719C0" w:rsidRDefault="00A746D9">
      <w:pPr>
        <w:spacing w:before="120" w:after="120"/>
        <w:jc w:val="center"/>
        <w:rPr>
          <w:rFonts w:ascii="Cambria" w:hAnsi="Cambria"/>
          <w:b/>
          <w:bCs/>
          <w:i/>
          <w:iCs/>
          <w:szCs w:val="24"/>
        </w:rPr>
      </w:pPr>
      <w:r>
        <w:rPr>
          <w:rFonts w:ascii="Cambria" w:hAnsi="Cambria"/>
          <w:b/>
          <w:bCs/>
          <w:i/>
          <w:iCs/>
          <w:szCs w:val="24"/>
        </w:rPr>
        <w:t>ZMIENNOŚĆ FORTUNY. ALEGORIE HERMANA HANA</w:t>
      </w:r>
    </w:p>
    <w:p w:rsidR="00A719C0" w:rsidRDefault="00A746D9">
      <w:pPr>
        <w:spacing w:before="120" w:after="12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7 lutego - 23 kwietnia 2023</w:t>
      </w:r>
    </w:p>
    <w:p w:rsidR="00A719C0" w:rsidRDefault="00A746D9">
      <w:pPr>
        <w:spacing w:before="120" w:after="12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Galeria Arcydzieł</w:t>
      </w:r>
    </w:p>
    <w:p w:rsidR="00A719C0" w:rsidRDefault="00A719C0">
      <w:pPr>
        <w:spacing w:before="120" w:after="120"/>
        <w:jc w:val="center"/>
        <w:rPr>
          <w:rFonts w:ascii="Cambria" w:hAnsi="Cambria"/>
          <w:szCs w:val="24"/>
        </w:rPr>
      </w:pPr>
    </w:p>
    <w:p w:rsidR="00A719C0" w:rsidRDefault="007403F1">
      <w:pPr>
        <w:spacing w:before="120" w:after="120"/>
        <w:jc w:val="both"/>
        <w:rPr>
          <w:rFonts w:ascii="Cambria" w:hAnsi="Cambria"/>
          <w:b/>
          <w:bCs/>
          <w:szCs w:val="24"/>
        </w:rPr>
      </w:pPr>
      <w:r>
        <w:rPr>
          <w:rFonts w:ascii="Cambria" w:hAnsi="Cambria"/>
          <w:b/>
          <w:bCs/>
          <w:szCs w:val="24"/>
        </w:rPr>
        <w:t xml:space="preserve">7 lutego w Zamku Królewskim </w:t>
      </w:r>
      <w:r w:rsidR="00A746D9">
        <w:rPr>
          <w:rFonts w:ascii="Cambria" w:hAnsi="Cambria"/>
          <w:b/>
          <w:bCs/>
          <w:szCs w:val="24"/>
        </w:rPr>
        <w:t>rozpocznie się pierwsza w</w:t>
      </w:r>
      <w:r>
        <w:rPr>
          <w:rFonts w:ascii="Cambria" w:hAnsi="Cambria"/>
          <w:b/>
          <w:bCs/>
          <w:szCs w:val="24"/>
        </w:rPr>
        <w:t xml:space="preserve"> Warszawie samodzielna wystawa </w:t>
      </w:r>
      <w:r w:rsidR="00A746D9">
        <w:rPr>
          <w:rFonts w:ascii="Cambria" w:hAnsi="Cambria"/>
          <w:b/>
          <w:bCs/>
          <w:szCs w:val="24"/>
        </w:rPr>
        <w:t xml:space="preserve">dzieł jednego z najsłynniejszych malarzy gdańskich epoki nowożytnej </w:t>
      </w:r>
      <w:r>
        <w:rPr>
          <w:rFonts w:ascii="Cambria" w:hAnsi="Cambria"/>
          <w:b/>
          <w:bCs/>
          <w:szCs w:val="24"/>
        </w:rPr>
        <w:t>–</w:t>
      </w:r>
      <w:r w:rsidR="00A746D9">
        <w:rPr>
          <w:rFonts w:ascii="Cambria" w:hAnsi="Cambria"/>
          <w:b/>
          <w:bCs/>
          <w:szCs w:val="24"/>
        </w:rPr>
        <w:t xml:space="preserve"> Hermana </w:t>
      </w:r>
      <w:proofErr w:type="spellStart"/>
      <w:r w:rsidR="00A746D9">
        <w:rPr>
          <w:rFonts w:ascii="Cambria" w:hAnsi="Cambria"/>
          <w:b/>
          <w:bCs/>
          <w:szCs w:val="24"/>
        </w:rPr>
        <w:t>Hana</w:t>
      </w:r>
      <w:proofErr w:type="spellEnd"/>
      <w:r w:rsidR="00A746D9">
        <w:rPr>
          <w:rFonts w:ascii="Cambria" w:hAnsi="Cambria"/>
          <w:b/>
          <w:bCs/>
          <w:szCs w:val="24"/>
        </w:rPr>
        <w:t xml:space="preserve">. Na ekspozycji znajdą się wczesne, niedawno odkryte obrazy </w:t>
      </w:r>
      <w:r w:rsidR="00A746D9">
        <w:rPr>
          <w:rFonts w:ascii="Cambria" w:hAnsi="Cambria"/>
          <w:b/>
          <w:bCs/>
          <w:szCs w:val="24"/>
        </w:rPr>
        <w:br/>
        <w:t xml:space="preserve">i rysunki artysty, zarówno w formie, jak i treści nietypowe dla jego późniejszej drogi twórczej, którą wyznaczało wielkoformatowe malarstwo sakralne. Pochodzące </w:t>
      </w:r>
      <w:r w:rsidR="00A746D9">
        <w:rPr>
          <w:rFonts w:ascii="Cambria" w:hAnsi="Cambria"/>
          <w:b/>
          <w:bCs/>
          <w:szCs w:val="24"/>
        </w:rPr>
        <w:br/>
        <w:t>z polskich oraz zagranicznych zbiorów dzieła o tematyce świeckiej, alegorycznej, a także portrety, pokazują wszechstronność artystyczną</w:t>
      </w:r>
      <w:r w:rsidR="004D095F">
        <w:rPr>
          <w:rFonts w:ascii="Cambria" w:hAnsi="Cambria"/>
          <w:b/>
          <w:bCs/>
          <w:szCs w:val="24"/>
        </w:rPr>
        <w:t xml:space="preserve"> </w:t>
      </w:r>
      <w:r w:rsidR="00A746D9">
        <w:rPr>
          <w:rFonts w:ascii="Cambria" w:hAnsi="Cambria"/>
          <w:b/>
          <w:bCs/>
          <w:szCs w:val="24"/>
        </w:rPr>
        <w:t>i intelektualną artysty, uzupełniając także obraz epoki, w której tworzył.</w:t>
      </w:r>
    </w:p>
    <w:p w:rsidR="00A719C0" w:rsidRDefault="00A746D9">
      <w:pPr>
        <w:spacing w:before="120" w:after="120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Działający w początkach XVII wieku w Gdańsku Herman </w:t>
      </w:r>
      <w:proofErr w:type="spellStart"/>
      <w:r>
        <w:rPr>
          <w:rFonts w:ascii="Cambria" w:hAnsi="Cambria"/>
          <w:szCs w:val="24"/>
        </w:rPr>
        <w:t>Han</w:t>
      </w:r>
      <w:proofErr w:type="spellEnd"/>
      <w:r>
        <w:rPr>
          <w:rFonts w:ascii="Cambria" w:hAnsi="Cambria"/>
          <w:szCs w:val="24"/>
        </w:rPr>
        <w:t xml:space="preserve"> (1580–1628) znany jest głównie jako twórca arcydzieła </w:t>
      </w:r>
      <w:r>
        <w:rPr>
          <w:rFonts w:ascii="Cambria" w:hAnsi="Cambria"/>
          <w:i/>
          <w:iCs/>
          <w:szCs w:val="24"/>
        </w:rPr>
        <w:t>Koronacja Najświętszej Marii Panny</w:t>
      </w:r>
      <w:r>
        <w:rPr>
          <w:rFonts w:ascii="Cambria" w:hAnsi="Cambria"/>
          <w:szCs w:val="24"/>
        </w:rPr>
        <w:t xml:space="preserve">, zdobiącego ołtarz Bazyliki katedralnej Wniebowzięcia Najświętszej Maryi Panny w Pelplinie. Nie mniej doskonałą realizacją jest </w:t>
      </w:r>
      <w:r>
        <w:rPr>
          <w:rFonts w:ascii="Cambria" w:hAnsi="Cambria"/>
          <w:i/>
          <w:iCs/>
          <w:szCs w:val="24"/>
        </w:rPr>
        <w:t>Koronacja Madonny</w:t>
      </w:r>
      <w:r>
        <w:rPr>
          <w:rFonts w:ascii="Cambria" w:hAnsi="Cambria"/>
          <w:szCs w:val="24"/>
        </w:rPr>
        <w:t xml:space="preserve">, znajdująca się w lewym bocznym ołtarzu Archikatedry Oliwskiej (w obu świątyniach można znaleźć także inne prace artysty). Jednak pełne maestrii </w:t>
      </w:r>
      <w:r w:rsidR="007403F1">
        <w:rPr>
          <w:rFonts w:ascii="Cambria" w:hAnsi="Cambria"/>
          <w:szCs w:val="24"/>
        </w:rPr>
        <w:br/>
      </w:r>
      <w:r>
        <w:rPr>
          <w:rFonts w:ascii="Cambria" w:hAnsi="Cambria"/>
          <w:szCs w:val="24"/>
        </w:rPr>
        <w:t>i rozmachu przedstawienia sakralne w duchu kontrreformacyjnym to nie jedyne, co wyszło spod pędzla gdańskiego mistrza, cieszącego się tytułem malarza królewskiego.</w:t>
      </w:r>
    </w:p>
    <w:p w:rsidR="00A719C0" w:rsidRDefault="00A746D9">
      <w:pPr>
        <w:spacing w:before="120" w:after="120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Wystawa w Zamku Królewskim w Warszawie przybliża mniej znane oblicze artysty, którego wczesnej twórczości wyraźne są wpływy niderlandzkie. </w:t>
      </w:r>
    </w:p>
    <w:p w:rsidR="00A719C0" w:rsidRDefault="00A746D9">
      <w:pPr>
        <w:spacing w:before="120" w:after="120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Wśród prezentowanych obiektów znajdują się nowe nabytki Fundacji Teresy </w:t>
      </w:r>
      <w:proofErr w:type="spellStart"/>
      <w:r>
        <w:rPr>
          <w:rFonts w:ascii="Cambria" w:hAnsi="Cambria"/>
          <w:szCs w:val="24"/>
        </w:rPr>
        <w:t>Sahakian</w:t>
      </w:r>
      <w:proofErr w:type="spellEnd"/>
      <w:r>
        <w:rPr>
          <w:rFonts w:ascii="Cambria" w:hAnsi="Cambria"/>
          <w:szCs w:val="24"/>
        </w:rPr>
        <w:t xml:space="preserve">: </w:t>
      </w:r>
      <w:r>
        <w:rPr>
          <w:rFonts w:ascii="Cambria" w:hAnsi="Cambria"/>
          <w:i/>
          <w:iCs/>
          <w:szCs w:val="24"/>
        </w:rPr>
        <w:t>Alegoria porządku świata</w:t>
      </w:r>
      <w:r>
        <w:rPr>
          <w:rFonts w:ascii="Cambria" w:hAnsi="Cambria"/>
          <w:szCs w:val="24"/>
        </w:rPr>
        <w:t xml:space="preserve">, </w:t>
      </w:r>
      <w:r>
        <w:rPr>
          <w:rFonts w:ascii="Cambria" w:hAnsi="Cambria"/>
          <w:i/>
          <w:iCs/>
          <w:szCs w:val="24"/>
        </w:rPr>
        <w:t>Alegoria bogactwa</w:t>
      </w:r>
      <w:r>
        <w:rPr>
          <w:rFonts w:ascii="Cambria" w:hAnsi="Cambria"/>
          <w:szCs w:val="24"/>
        </w:rPr>
        <w:t xml:space="preserve"> i </w:t>
      </w:r>
      <w:r>
        <w:rPr>
          <w:rFonts w:ascii="Cambria" w:hAnsi="Cambria"/>
          <w:i/>
          <w:iCs/>
          <w:szCs w:val="24"/>
        </w:rPr>
        <w:t>Alegoria pokory</w:t>
      </w:r>
      <w:r>
        <w:rPr>
          <w:rFonts w:ascii="Cambria" w:hAnsi="Cambria"/>
          <w:szCs w:val="24"/>
        </w:rPr>
        <w:t xml:space="preserve">. Wyrafinowane od strony materii malarskiej, bogate w szczegóły obrazy są nośnikami alegorycznych, propagujących cnoty obywatelskie treści. Uczą, że niekontrolowane namiętności prowadzą do rozczarowania, </w:t>
      </w:r>
      <w:r w:rsidR="007403F1">
        <w:rPr>
          <w:rFonts w:ascii="Cambria" w:hAnsi="Cambria"/>
          <w:szCs w:val="24"/>
        </w:rPr>
        <w:br/>
      </w:r>
      <w:r>
        <w:rPr>
          <w:rFonts w:ascii="Cambria" w:hAnsi="Cambria"/>
          <w:szCs w:val="24"/>
        </w:rPr>
        <w:t xml:space="preserve">a odwieczny krąg pychy i wojny przełamać mogą jedynie pokora i umiarkowanie. Przesłanie </w:t>
      </w:r>
      <w:r>
        <w:rPr>
          <w:rFonts w:ascii="Cambria" w:hAnsi="Cambria"/>
          <w:szCs w:val="24"/>
        </w:rPr>
        <w:br/>
      </w:r>
      <w:r>
        <w:rPr>
          <w:rFonts w:ascii="Cambria" w:hAnsi="Cambria"/>
          <w:szCs w:val="24"/>
        </w:rPr>
        <w:lastRenderedPageBreak/>
        <w:t xml:space="preserve">to można by podsumować maksymą zaczerpniętą z inskrypcji na rycinie, która posłużyła </w:t>
      </w:r>
      <w:r>
        <w:rPr>
          <w:rFonts w:ascii="Cambria" w:hAnsi="Cambria"/>
          <w:szCs w:val="24"/>
        </w:rPr>
        <w:br/>
        <w:t xml:space="preserve">za wzór jednego z obrazów </w:t>
      </w:r>
      <w:proofErr w:type="spellStart"/>
      <w:r>
        <w:rPr>
          <w:rFonts w:ascii="Cambria" w:hAnsi="Cambria"/>
          <w:szCs w:val="24"/>
        </w:rPr>
        <w:t>Hana</w:t>
      </w:r>
      <w:proofErr w:type="spellEnd"/>
      <w:r>
        <w:rPr>
          <w:rFonts w:ascii="Cambria" w:hAnsi="Cambria"/>
          <w:szCs w:val="24"/>
        </w:rPr>
        <w:t>:</w:t>
      </w:r>
    </w:p>
    <w:p w:rsidR="00A719C0" w:rsidRDefault="00A746D9">
      <w:pPr>
        <w:spacing w:before="120" w:after="120"/>
        <w:jc w:val="center"/>
        <w:rPr>
          <w:rFonts w:ascii="Cambria" w:hAnsi="Cambria"/>
          <w:i/>
          <w:iCs/>
          <w:szCs w:val="24"/>
        </w:rPr>
      </w:pPr>
      <w:r>
        <w:rPr>
          <w:rFonts w:ascii="Cambria" w:hAnsi="Cambria"/>
          <w:i/>
          <w:iCs/>
          <w:szCs w:val="24"/>
        </w:rPr>
        <w:t>Z majątku rodzi się przeważnie pycha, gdyż niewielu ludziom znany</w:t>
      </w:r>
    </w:p>
    <w:p w:rsidR="00A719C0" w:rsidRDefault="00A746D9">
      <w:pPr>
        <w:spacing w:before="120" w:after="120"/>
        <w:jc w:val="center"/>
        <w:rPr>
          <w:rFonts w:ascii="Cambria" w:hAnsi="Cambria"/>
          <w:i/>
          <w:iCs/>
          <w:szCs w:val="24"/>
        </w:rPr>
      </w:pPr>
      <w:r>
        <w:rPr>
          <w:rFonts w:ascii="Cambria" w:hAnsi="Cambria"/>
          <w:i/>
          <w:iCs/>
          <w:szCs w:val="24"/>
        </w:rPr>
        <w:t xml:space="preserve"> jest właściwy użytek z przemijających bogactw.</w:t>
      </w:r>
    </w:p>
    <w:p w:rsidR="00A719C0" w:rsidRDefault="00A746D9">
      <w:pPr>
        <w:spacing w:before="120" w:after="120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Istotnym tematem wystawy jest także sam historyczny Gdańsk – największa ówcześnie metropolia Europy Środkowo-Wschodniej, kosmopolityczne centrum handlu, w tym obrotu dziełami sztuki, znajdujące się u szczytu potęgi i promieniujące kulturowo na całą Rzeczpospolitą.</w:t>
      </w:r>
    </w:p>
    <w:p w:rsidR="00A719C0" w:rsidRDefault="00A746D9">
      <w:pPr>
        <w:spacing w:before="120" w:after="120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_____________________________________________________________________________________________________________</w:t>
      </w:r>
    </w:p>
    <w:p w:rsidR="00A719C0" w:rsidRDefault="00A746D9">
      <w:pPr>
        <w:spacing w:before="120" w:after="120"/>
        <w:jc w:val="both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Kurator wystawy: </w:t>
      </w:r>
      <w:r>
        <w:rPr>
          <w:rFonts w:ascii="Cambria" w:hAnsi="Cambria"/>
          <w:b/>
          <w:bCs/>
          <w:szCs w:val="24"/>
        </w:rPr>
        <w:t>dr Jacek Żukowski</w:t>
      </w:r>
    </w:p>
    <w:p w:rsidR="00A719C0" w:rsidRDefault="00A746D9">
      <w:pPr>
        <w:spacing w:before="120" w:after="1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_____________________________________________________________________________________________________________</w:t>
      </w:r>
    </w:p>
    <w:p w:rsidR="00A719C0" w:rsidRDefault="00D06DD9">
      <w:pPr>
        <w:spacing w:before="120" w:after="120"/>
        <w:jc w:val="center"/>
        <w:rPr>
          <w:rFonts w:ascii="Cambria" w:hAnsi="Cambria"/>
          <w:szCs w:val="24"/>
        </w:rPr>
      </w:pPr>
      <w:r>
        <w:rPr>
          <w:rFonts w:ascii="Cambria" w:hAnsi="Cambria"/>
          <w:b/>
          <w:bCs/>
          <w:szCs w:val="24"/>
        </w:rPr>
        <w:br/>
      </w:r>
      <w:bookmarkStart w:id="0" w:name="_GoBack"/>
      <w:bookmarkEnd w:id="0"/>
      <w:r w:rsidR="00A27693">
        <w:rPr>
          <w:rFonts w:ascii="Cambria" w:hAnsi="Cambria"/>
          <w:b/>
          <w:bCs/>
          <w:szCs w:val="24"/>
        </w:rPr>
        <w:t xml:space="preserve">Program wykładów </w:t>
      </w:r>
      <w:r w:rsidR="00A746D9">
        <w:rPr>
          <w:rFonts w:ascii="Cambria" w:hAnsi="Cambria"/>
          <w:b/>
          <w:bCs/>
          <w:szCs w:val="24"/>
        </w:rPr>
        <w:t>towarzyszących wystawie</w:t>
      </w:r>
    </w:p>
    <w:p w:rsidR="00A719C0" w:rsidRDefault="00A746D9" w:rsidP="00A27693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9 lutego 2023 r. </w:t>
      </w:r>
      <w:r>
        <w:rPr>
          <w:rFonts w:ascii="Cambria" w:hAnsi="Cambria"/>
          <w:i/>
          <w:iCs/>
          <w:szCs w:val="24"/>
        </w:rPr>
        <w:t xml:space="preserve">Zmienne losy Hermana </w:t>
      </w:r>
      <w:proofErr w:type="spellStart"/>
      <w:r>
        <w:rPr>
          <w:rFonts w:ascii="Cambria" w:hAnsi="Cambria"/>
          <w:i/>
          <w:iCs/>
          <w:szCs w:val="24"/>
        </w:rPr>
        <w:t>Hana</w:t>
      </w:r>
      <w:proofErr w:type="spellEnd"/>
    </w:p>
    <w:p w:rsidR="00A719C0" w:rsidRDefault="00A746D9" w:rsidP="00A27693">
      <w:pPr>
        <w:spacing w:after="1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Prowadzący: dr hab. Jacek Tylicki, prof. Uniwersytetu Mikołaja Kopernika</w:t>
      </w:r>
      <w:r w:rsidR="00A27693">
        <w:rPr>
          <w:rFonts w:ascii="Cambria" w:hAnsi="Cambria"/>
          <w:szCs w:val="24"/>
        </w:rPr>
        <w:t xml:space="preserve"> (online)</w:t>
      </w:r>
    </w:p>
    <w:p w:rsidR="00A719C0" w:rsidRDefault="00A746D9" w:rsidP="00A27693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9 marca 2023 r. </w:t>
      </w:r>
      <w:r>
        <w:rPr>
          <w:rFonts w:ascii="Cambria" w:hAnsi="Cambria"/>
          <w:i/>
          <w:iCs/>
          <w:szCs w:val="24"/>
        </w:rPr>
        <w:t xml:space="preserve">Konfesyjne uwikłania w dorobku Hermana </w:t>
      </w:r>
      <w:proofErr w:type="spellStart"/>
      <w:r>
        <w:rPr>
          <w:rFonts w:ascii="Cambria" w:hAnsi="Cambria"/>
          <w:i/>
          <w:iCs/>
          <w:szCs w:val="24"/>
        </w:rPr>
        <w:t>Hana</w:t>
      </w:r>
      <w:proofErr w:type="spellEnd"/>
    </w:p>
    <w:p w:rsidR="00A719C0" w:rsidRDefault="00A746D9" w:rsidP="00A27693">
      <w:pPr>
        <w:spacing w:after="1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Prowadzący: dr hab. Piotr </w:t>
      </w:r>
      <w:proofErr w:type="spellStart"/>
      <w:r>
        <w:rPr>
          <w:rFonts w:ascii="Cambria" w:hAnsi="Cambria"/>
          <w:szCs w:val="24"/>
        </w:rPr>
        <w:t>Birecki</w:t>
      </w:r>
      <w:proofErr w:type="spellEnd"/>
      <w:r>
        <w:rPr>
          <w:rFonts w:ascii="Cambria" w:hAnsi="Cambria"/>
          <w:szCs w:val="24"/>
        </w:rPr>
        <w:t>, prof. Uniwersytetu Mikołaja Kopernika</w:t>
      </w:r>
      <w:r w:rsidR="00A27693">
        <w:rPr>
          <w:rFonts w:ascii="Cambria" w:hAnsi="Cambria"/>
          <w:szCs w:val="24"/>
        </w:rPr>
        <w:t xml:space="preserve"> (online)</w:t>
      </w:r>
    </w:p>
    <w:p w:rsidR="00A719C0" w:rsidRDefault="00A746D9" w:rsidP="00A27693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30 marca 2023 r. </w:t>
      </w:r>
      <w:r>
        <w:rPr>
          <w:rFonts w:ascii="Cambria" w:hAnsi="Cambria"/>
          <w:i/>
          <w:iCs/>
          <w:szCs w:val="24"/>
        </w:rPr>
        <w:t xml:space="preserve">W świecie </w:t>
      </w:r>
      <w:proofErr w:type="spellStart"/>
      <w:r>
        <w:rPr>
          <w:rFonts w:ascii="Cambria" w:hAnsi="Cambria"/>
          <w:i/>
          <w:iCs/>
          <w:szCs w:val="24"/>
        </w:rPr>
        <w:t>Hanowskich</w:t>
      </w:r>
      <w:proofErr w:type="spellEnd"/>
      <w:r>
        <w:rPr>
          <w:rFonts w:ascii="Cambria" w:hAnsi="Cambria"/>
          <w:i/>
          <w:iCs/>
          <w:szCs w:val="24"/>
        </w:rPr>
        <w:t xml:space="preserve"> Alegorii</w:t>
      </w:r>
    </w:p>
    <w:p w:rsidR="00A719C0" w:rsidRDefault="00A746D9" w:rsidP="00A27693">
      <w:pPr>
        <w:spacing w:after="1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Prowadzący: dr Magdalena Mielnik, Muzeum Narodowe w Gdańsku</w:t>
      </w:r>
      <w:r w:rsidR="00A27693">
        <w:rPr>
          <w:rFonts w:ascii="Cambria" w:hAnsi="Cambria"/>
          <w:szCs w:val="24"/>
        </w:rPr>
        <w:t xml:space="preserve"> (online)</w:t>
      </w:r>
    </w:p>
    <w:p w:rsidR="00A719C0" w:rsidRDefault="00A746D9" w:rsidP="00A27693">
      <w:pPr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6 kwietnia 2023 r.  godz. </w:t>
      </w:r>
      <w:r w:rsidR="00A27693">
        <w:rPr>
          <w:rFonts w:ascii="Cambria" w:hAnsi="Cambria"/>
          <w:szCs w:val="24"/>
        </w:rPr>
        <w:t>12.00  (wykład z publicznością,</w:t>
      </w:r>
      <w:r>
        <w:rPr>
          <w:rFonts w:ascii="Cambria" w:hAnsi="Cambria"/>
          <w:szCs w:val="24"/>
        </w:rPr>
        <w:t xml:space="preserve"> Sala Kinowa)</w:t>
      </w:r>
    </w:p>
    <w:p w:rsidR="00A719C0" w:rsidRDefault="00A746D9" w:rsidP="00A27693">
      <w:pPr>
        <w:rPr>
          <w:rFonts w:ascii="Cambria" w:hAnsi="Cambria"/>
          <w:i/>
          <w:iCs/>
          <w:szCs w:val="24"/>
        </w:rPr>
      </w:pPr>
      <w:r>
        <w:rPr>
          <w:rFonts w:ascii="Cambria" w:hAnsi="Cambria"/>
          <w:i/>
          <w:iCs/>
          <w:szCs w:val="24"/>
        </w:rPr>
        <w:t xml:space="preserve">Kostium w malarstwie gabinetowym Hermana </w:t>
      </w:r>
      <w:proofErr w:type="spellStart"/>
      <w:r>
        <w:rPr>
          <w:rFonts w:ascii="Cambria" w:hAnsi="Cambria"/>
          <w:i/>
          <w:iCs/>
          <w:szCs w:val="24"/>
        </w:rPr>
        <w:t>Hana</w:t>
      </w:r>
      <w:proofErr w:type="spellEnd"/>
    </w:p>
    <w:p w:rsidR="00A719C0" w:rsidRDefault="00A746D9" w:rsidP="00A27693">
      <w:pPr>
        <w:spacing w:after="1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Prowadzący: dr Jacek Żukowski, Agnieszka Lichacz, Zamek Królewski w Warszawie</w:t>
      </w:r>
    </w:p>
    <w:p w:rsidR="00A719C0" w:rsidRDefault="00A746D9">
      <w:pPr>
        <w:spacing w:before="120" w:after="1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                   </w:t>
      </w:r>
    </w:p>
    <w:p w:rsidR="00A719C0" w:rsidRDefault="00A719C0">
      <w:pPr>
        <w:spacing w:before="120" w:after="120"/>
        <w:jc w:val="center"/>
        <w:rPr>
          <w:rFonts w:ascii="Cambria" w:hAnsi="Cambria"/>
          <w:szCs w:val="24"/>
        </w:rPr>
      </w:pPr>
    </w:p>
    <w:p w:rsidR="00A719C0" w:rsidRDefault="00A719C0">
      <w:pPr>
        <w:spacing w:before="120" w:after="120"/>
        <w:jc w:val="center"/>
        <w:rPr>
          <w:rFonts w:ascii="Cambria" w:hAnsi="Cambria"/>
          <w:szCs w:val="24"/>
        </w:rPr>
      </w:pPr>
    </w:p>
    <w:sectPr w:rsidR="00A719C0">
      <w:footerReference w:type="default" r:id="rId7"/>
      <w:pgSz w:w="11906" w:h="16838"/>
      <w:pgMar w:top="1440" w:right="1080" w:bottom="1440" w:left="1080" w:header="0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9D2" w:rsidRDefault="00C819D2">
      <w:r>
        <w:separator/>
      </w:r>
    </w:p>
  </w:endnote>
  <w:endnote w:type="continuationSeparator" w:id="0">
    <w:p w:rsidR="00C819D2" w:rsidRDefault="00C81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9C0" w:rsidRDefault="00A719C0">
    <w:pPr>
      <w:pStyle w:val="Stopka"/>
    </w:pPr>
  </w:p>
  <w:p w:rsidR="00A719C0" w:rsidRDefault="00A746D9">
    <w:pPr>
      <w:pStyle w:val="Stopka"/>
    </w:pPr>
    <w:r>
      <w:rPr>
        <w:noProof/>
        <w:lang w:eastAsia="pl-PL"/>
      </w:rPr>
      <w:drawing>
        <wp:anchor distT="0" distB="0" distL="0" distR="114300" simplePos="0" relativeHeight="4" behindDoc="1" locked="0" layoutInCell="0" allowOverlap="1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845820" cy="68453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684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Materiały prasowe Zamku Królewskiego w Warszawie</w:t>
    </w:r>
  </w:p>
  <w:p w:rsidR="00A719C0" w:rsidRDefault="00C819D2">
    <w:pPr>
      <w:pStyle w:val="Stopka"/>
    </w:pPr>
    <w:hyperlink r:id="rId2">
      <w:r w:rsidR="00A746D9">
        <w:rPr>
          <w:rStyle w:val="Hipercze1"/>
          <w:rFonts w:ascii="Cambria" w:hAnsi="Cambria" w:cstheme="minorHAnsi"/>
          <w:szCs w:val="24"/>
        </w:rPr>
        <w:t>https://www.zamek-krolewski.pl/</w:t>
      </w:r>
    </w:hyperlink>
  </w:p>
  <w:p w:rsidR="00A719C0" w:rsidRDefault="00C819D2">
    <w:pPr>
      <w:pStyle w:val="Stopka"/>
    </w:pPr>
    <w:hyperlink r:id="rId3">
      <w:r w:rsidR="00A746D9">
        <w:rPr>
          <w:rStyle w:val="Hipercze1"/>
          <w:rFonts w:ascii="Cambria" w:hAnsi="Cambria" w:cstheme="minorHAnsi"/>
          <w:szCs w:val="24"/>
        </w:rPr>
        <w:t>media@zamek-krolewski.waw.pl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9D2" w:rsidRDefault="00C819D2">
      <w:r>
        <w:separator/>
      </w:r>
    </w:p>
  </w:footnote>
  <w:footnote w:type="continuationSeparator" w:id="0">
    <w:p w:rsidR="00C819D2" w:rsidRDefault="00C819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9C0"/>
    <w:rsid w:val="004D095F"/>
    <w:rsid w:val="0059763A"/>
    <w:rsid w:val="007403F1"/>
    <w:rsid w:val="00A27693"/>
    <w:rsid w:val="00A719C0"/>
    <w:rsid w:val="00A746D9"/>
    <w:rsid w:val="00C819D2"/>
    <w:rsid w:val="00D0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1295D"/>
  <w15:docId w15:val="{9C0AB308-A477-4772-A4C1-33EED045A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B757C0"/>
  </w:style>
  <w:style w:type="character" w:customStyle="1" w:styleId="StopkaZnak">
    <w:name w:val="Stopka Znak"/>
    <w:basedOn w:val="Domylnaczcionkaakapitu"/>
    <w:link w:val="Stopka"/>
    <w:uiPriority w:val="99"/>
    <w:qFormat/>
    <w:rsid w:val="00B757C0"/>
  </w:style>
  <w:style w:type="character" w:customStyle="1" w:styleId="Hipercze1">
    <w:name w:val="Hiperłącze1"/>
    <w:basedOn w:val="Domylnaczcionkaakapitu"/>
    <w:uiPriority w:val="99"/>
    <w:unhideWhenUsed/>
    <w:rsid w:val="00B757C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175E6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5E61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175E61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5E6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B757C0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B757C0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5E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175E6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5E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dia@zamek-krolewski.waw.pl" TargetMode="External"/><Relationship Id="rId2" Type="http://schemas.openxmlformats.org/officeDocument/2006/relationships/hyperlink" Target="https://www.zamek-krolewski.pl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466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Szwed</dc:creator>
  <dc:description/>
  <cp:lastModifiedBy>Paulina Szwed</cp:lastModifiedBy>
  <cp:revision>6</cp:revision>
  <cp:lastPrinted>2023-02-03T08:41:00Z</cp:lastPrinted>
  <dcterms:created xsi:type="dcterms:W3CDTF">2023-02-03T06:59:00Z</dcterms:created>
  <dcterms:modified xsi:type="dcterms:W3CDTF">2023-02-03T12:28:00Z</dcterms:modified>
  <dc:language>pl-PL</dc:language>
</cp:coreProperties>
</file>